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600"/>
      </w:pPr>
      <w:r>
        <w:rPr>
          <w:rFonts w:ascii="Arial" w:cs="Arial" w:eastAsia="Arial" w:hAnsi="Arial"/>
          <w:b/>
          <w:bCs/>
          <w:color w:val="8F3F2B"/>
          <w:sz w:val="76"/>
          <w:szCs w:val="76"/>
        </w:rPr>
        <w:t xml:space="preserve">BELONGING</w:t>
      </w:r>
    </w:p>
    <w:p>
      <w:pPr>
        <w:spacing w:after="420"/>
      </w:pPr>
      <w:r>
        <w:rPr>
          <w:i/>
          <w:iCs/>
          <w:color w:val="7C7468"/>
          <w:sz w:val="30"/>
          <w:szCs w:val="30"/>
        </w:rPr>
        <w:t xml:space="preserve">choose your neighbours</w:t>
      </w:r>
    </w:p>
    <w:p>
      <w:pPr>
        <w:pBdr>
          <w:bottom w:val="single" w:color="8F3F2B" w:sz="10" w:space="4"/>
        </w:pBdr>
        <w:spacing w:after="360"/>
      </w:pPr>
      <w:r>
        <w:t xml:space="preserve"/>
      </w:r>
    </w:p>
    <w:p>
      <w:pPr>
        <w:spacing w:after="120"/>
      </w:pPr>
      <w:r>
        <w:rPr>
          <w:b/>
          <w:bCs/>
          <w:sz w:val="44"/>
          <w:szCs w:val="44"/>
        </w:rPr>
        <w:t xml:space="preserve">Business Plan</w:t>
      </w:r>
    </w:p>
    <w:p>
      <w:pPr>
        <w:spacing w:after="600"/>
      </w:pPr>
      <w:r>
        <w:rPr>
          <w:color w:val="24201C"/>
          <w:sz w:val="24"/>
          <w:szCs w:val="24"/>
        </w:rPr>
        <w:t xml:space="preserve">A community where people choose their neighbours, own their homes, and design the place they live — so that no one has to live, or grow old, in isolation.</w:t>
      </w:r>
    </w:p>
    <w:p>
      <w:pPr>
        <w:spacing w:after="80"/>
      </w:pPr>
      <w:r>
        <w:rPr>
          <w:color w:val="7C7468"/>
          <w:sz w:val="20"/>
          <w:szCs w:val="20"/>
        </w:rPr>
        <w:t xml:space="preserve">Version 1.0 (draft for discussion)</w:t>
      </w:r>
    </w:p>
    <w:p>
      <w:pPr>
        <w:spacing w:after="80"/>
      </w:pPr>
      <w:r>
        <w:rPr>
          <w:color w:val="7C7468"/>
          <w:sz w:val="20"/>
          <w:szCs w:val="20"/>
        </w:rPr>
        <w:t xml:space="preserve">Prepared: 2026</w:t>
      </w:r>
    </w:p>
    <w:p>
      <w:pPr>
        <w:spacing w:after="600"/>
      </w:pPr>
      <w:r>
        <w:rPr>
          <w:color w:val="7C7468"/>
          <w:sz w:val="20"/>
          <w:szCs w:val="20"/>
        </w:rPr>
        <w:t xml:space="preserve">Contact: [name] · [email] · [phone] · chooseneighbors.com</w:t>
      </w:r>
    </w:p>
    <w:p>
      <w:pPr>
        <w:pBdr>
          <w:left w:val="single" w:color="5E6B50" w:sz="18" w:space="8"/>
        </w:pBdr>
        <w:shd w:fill="EFE5D6" w:val="clear"/>
        <w:spacing w:after="200" w:before="200"/>
      </w:pPr>
      <w:r>
        <w:rPr>
          <w:i/>
          <w:iCs/>
          <w:color w:val="24201C"/>
          <w:sz w:val="18"/>
          <w:szCs w:val="18"/>
        </w:rPr>
        <w:t xml:space="preserve">Confidential and for discussion only. This document contains illustrative projections based on stated assumptions; it is not financial, investment, or legal advice, and figures are not forecasts or guarantees. Obtain independent professional advice before acting.</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pPr>
        <w:spacing w:after="140" w:line="276"/>
      </w:pPr>
      <w:r>
        <w:rPr>
          <w:i/>
          <w:iCs/>
        </w:rPr>
        <w:t xml:space="preserve">To update this table in Word: right-click it and choose “Update Field.”</w:t>
      </w:r>
    </w:p>
    <w:p>
      <w:r>
        <w:br w:type="page"/>
      </w:r>
    </w:p>
    <w:p>
      <w:pPr>
        <w:pStyle w:val="Heading1"/>
      </w:pPr>
      <w:r>
        <w:t xml:space="preserve">1. Executive summary</w:t>
      </w:r>
    </w:p>
    <w:p>
      <w:pPr>
        <w:pBdr>
          <w:bottom w:val="single" w:color="8F3F2B" w:sz="6" w:space="1"/>
        </w:pBdr>
        <w:spacing w:after="160"/>
      </w:pPr>
      <w:r>
        <w:t xml:space="preserve"/>
      </w:r>
    </w:p>
    <w:p>
      <w:pPr>
        <w:spacing w:after="140" w:line="276"/>
      </w:pPr>
      <w:r>
        <w:rPr>
          <w:b/>
          <w:bCs/>
        </w:rPr>
        <w:t xml:space="preserve">Belonging is a new kind of residential community in which people choose the neighbours they live among, own their homes from day one rather than renting, and take a real hand in governing and improving the place they live.</w:t>
      </w:r>
    </w:p>
    <w:p>
      <w:pPr>
        <w:spacing w:after="140" w:line="276"/>
      </w:pPr>
      <w:r>
        <w:t xml:space="preserve">It exists to answer two problems at once that the market currently treats as separate: a housing affordability crisis that has placed secure home ownership beyond ordinary earners, and an epidemic of isolation whose health and social costs are now well documented. Belonging is designed so that solving one helps solve the other.</w:t>
      </w:r>
    </w:p>
    <w:p>
      <w:pPr>
        <w:spacing w:after="140" w:line="276"/>
      </w:pPr>
      <w:r>
        <w:rPr>
          <w:b/>
          <w:bCs/>
        </w:rPr>
        <w:t xml:space="preserve">The opportunity. </w:t>
      </w:r>
      <w:r>
        <w:t xml:space="preserve">Australian housing is, on the most-used measure, severely unaffordable, and the share of households who can buy a median home has collapsed within a few years. At the same time, around a third of households rent, many under financial stress, and a large share of people — of all ages — live with chronic isolation. There is real, large, and growing demand for an affordable, secure, community-centred alternative.</w:t>
      </w:r>
    </w:p>
    <w:p>
      <w:pPr>
        <w:spacing w:after="140" w:line="276"/>
      </w:pPr>
      <w:r>
        <w:rPr>
          <w:b/>
          <w:bCs/>
        </w:rPr>
        <w:t xml:space="preserve">The model. </w:t>
      </w:r>
      <w:r>
        <w:t xml:space="preserve">Land is held permanently in a community land trust so it cannot be speculated on; residents own the buildings and pay off their value over time instead of paying rent. A portion of homes are sold at market rate to fund an affordable core (and to repay investors), construction is structured as ongoing paid work, and the community captures the land-value uplift that a private speculator would otherwise pocket. The result is genuinely affordable — in places free — housing that stays affordable for the next resident.</w:t>
      </w:r>
    </w:p>
    <w:p>
      <w:pPr>
        <w:spacing w:after="140" w:line="276"/>
      </w:pPr>
      <w:r>
        <w:rPr>
          <w:b/>
          <w:bCs/>
        </w:rPr>
        <w:t xml:space="preserve">The return. </w:t>
      </w:r>
      <w:r>
        <w:t xml:space="preserve">Investors are repaid from market-rate home sales and construction margin, with upside from land-value uplift as an affordable, cheap, or distressed site is revived into a desirable community. The worst case is contemplated up front: investors are left holding land, with surplus funds refunded.</w:t>
      </w:r>
    </w:p>
    <w:p>
      <w:pPr>
        <w:spacing w:after="140" w:line="276"/>
      </w:pPr>
      <w:r>
        <w:rPr>
          <w:b/>
          <w:bCs/>
        </w:rPr>
        <w:t xml:space="preserve">The ask. </w:t>
      </w:r>
      <w:r>
        <w:t xml:space="preserve">Capital to secure an initial site, establish the legal structure, and build the first village of starter homes — the proof point from which the model replicates as a federation of small villages.</w:t>
      </w:r>
    </w:p>
    <w:p>
      <w:pPr>
        <w:pStyle w:val="Heading1"/>
      </w:pPr>
      <w:r>
        <w:t xml:space="preserve">2. The problem</w:t>
      </w:r>
    </w:p>
    <w:p>
      <w:pPr>
        <w:pBdr>
          <w:bottom w:val="single" w:color="8F3F2B" w:sz="6" w:space="1"/>
        </w:pBdr>
        <w:spacing w:after="160"/>
      </w:pPr>
      <w:r>
        <w:t xml:space="preserve"/>
      </w:r>
    </w:p>
    <w:p>
      <w:pPr>
        <w:pStyle w:val="Heading2"/>
      </w:pPr>
      <w:r>
        <w:t xml:space="preserve">2.1 Housing has moved out of reach</w:t>
      </w:r>
    </w:p>
    <w:p>
      <w:pPr>
        <w:spacing w:after="140" w:line="276"/>
      </w:pPr>
      <w:r>
        <w:t xml:space="preserve">Housing affordability in Australia is at or near the worst levels on record, and the deterioration has been rapid: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3360"/>
        <w:gridCol w:w="2600"/>
      </w:tblGrid>
      <w:tr>
        <w:tc>
          <w:tcPr>
            <w:tcW w:type="dxa" w:w="34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Measure</w:t>
            </w:r>
          </w:p>
        </w:tc>
        <w:tc>
          <w:tcPr>
            <w:tcW w:type="dxa" w:w="336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Figure</w:t>
            </w:r>
          </w:p>
        </w:tc>
        <w:tc>
          <w:tcPr>
            <w:tcW w:type="dxa" w:w="26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Source</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Median-income households able to afford the median home (2026)</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~14% (down from ~43% three years earlier)</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PropTrack Housing Affordability Report</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National median multiple (home price ÷ income), Sep 2025</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~8.2 (“severely unaffordable”; Sydney ~10.1)</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Demographia International Housing Affordability</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National median dwelling value (Feb 2026)</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~$922,800; ~11 years to save a deposit</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Cotality</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Households renting</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~31% (26% private landlords, 3% public)</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ABS / industry analysis</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Income needed to rent a typical capital-city house</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~$112,700 (up 51% from ~$74,500 in 2019); Sydney ~$135,000</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Industry analysis, 2026</w:t>
            </w:r>
          </w:p>
        </w:tc>
      </w:tr>
      <w:tr>
        <w:tc>
          <w:tcPr>
            <w:tcW w:type="dxa" w:w="3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Low-income rental households in financial stress</w:t>
            </w:r>
          </w:p>
        </w:tc>
        <w:tc>
          <w:tcPr>
            <w:tcW w:type="dxa" w:w="3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~1 in 5; 28% of renters spend &gt;30% of income on housing</w:t>
            </w:r>
          </w:p>
        </w:tc>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AIHW / ANU analysis</w:t>
            </w:r>
          </w:p>
        </w:tc>
      </w:tr>
    </w:tbl>
    <w:p>
      <w:pPr>
        <w:spacing w:after="140" w:line="276"/>
      </w:pPr>
      <w:r>
        <w:rPr>
          <w:i/>
          <w:iCs/>
        </w:rPr>
        <w:t xml:space="preserve">A median multiple of 3.0 or below is considered affordable; above ~5.1 is “severely unaffordable.” Most of Australia now sits well beyond that line. Figures are drawn from public reporting current to 2026 and are summarised here; see Sources.</w:t>
      </w:r>
    </w:p>
    <w:p>
      <w:pPr>
        <w:spacing w:after="140" w:line="276"/>
      </w:pPr>
      <w:r>
        <w:t xml:space="preserve">The practical effect: people who cannot or do not work full-time are largely shut out of secure housing, pushed into insecure share arrangements or long-term renting, paying down someone else's asset with little control over their own lives.</w:t>
      </w:r>
    </w:p>
    <w:p>
      <w:pPr>
        <w:pStyle w:val="Heading2"/>
      </w:pPr>
      <w:r>
        <w:t xml:space="preserve">2.2 Isolation is a measurable health crisis</w:t>
      </w:r>
    </w:p>
    <w:p>
      <w:pPr>
        <w:spacing w:after="140" w:line="276"/>
      </w:pPr>
      <w:r>
        <w:t xml:space="preserve">Separately, weak social connection is now understood as a serious health risk, not a soft concern. The evidence is strong enough that it strengthens, rather than decorates, the case for this venture:</w:t>
      </w:r>
    </w:p>
    <w:p>
      <w:pPr>
        <w:pStyle w:val="ListParagraph"/>
        <w:numPr>
          <w:ilvl w:val="0"/>
          <w:numId w:val="2"/>
        </w:numPr>
        <w:spacing w:after="90" w:line="276"/>
      </w:pPr>
      <w:r>
        <w:rPr>
          <w:b/>
          <w:bCs/>
        </w:rPr>
        <w:t xml:space="preserve">Mortality. </w:t>
      </w:r>
      <w:r>
        <w:t xml:space="preserve">Across meta-analyses pooling over 3.4 million people, loneliness is associated with roughly a 26% higher risk of early death, social isolation ~29%, and living alone ~32% (Holt-Lunstad et al.).</w:t>
      </w:r>
    </w:p>
    <w:p>
      <w:pPr>
        <w:pStyle w:val="ListParagraph"/>
        <w:numPr>
          <w:ilvl w:val="0"/>
          <w:numId w:val="2"/>
        </w:numPr>
        <w:spacing w:after="90" w:line="276"/>
      </w:pPr>
      <w:r>
        <w:rPr>
          <w:b/>
          <w:bCs/>
        </w:rPr>
        <w:t xml:space="preserve">Benchmark. </w:t>
      </w:r>
      <w:r>
        <w:t xml:space="preserve">The US Surgeon General’s 2023 advisory placed the mortality impact of weak connection on a par with smoking up to 15 cigarettes a day — a benchmark some epidemiologists consider may overstate the exact size, while agreeing the underlying risk is real and rising.</w:t>
      </w:r>
    </w:p>
    <w:p>
      <w:pPr>
        <w:pStyle w:val="ListParagraph"/>
        <w:numPr>
          <w:ilvl w:val="0"/>
          <w:numId w:val="2"/>
        </w:numPr>
        <w:spacing w:after="90" w:line="276"/>
      </w:pPr>
      <w:r>
        <w:rPr>
          <w:b/>
          <w:bCs/>
        </w:rPr>
        <w:t xml:space="preserve">Longevity. </w:t>
      </w:r>
      <w:r>
        <w:t xml:space="preserve">The Harvard Study of Adult Development, running 85+ years, finds that the quality of relationships — more than money, fame, or cholesterol — is the clearest predictor of long-term health and happiness.</w:t>
      </w:r>
    </w:p>
    <w:p>
      <w:pPr>
        <w:spacing w:after="140" w:line="276"/>
      </w:pPr>
      <w:r>
        <w:t xml:space="preserve">Modern housing and city design largely ignore this. Belonging treats connection as infrastructure to be designed for, with measurable benefit.</w:t>
      </w:r>
    </w:p>
    <w:p>
      <w:pPr>
        <w:pStyle w:val="Heading1"/>
      </w:pPr>
      <w:r>
        <w:t xml:space="preserve">3. The solution: what Belonging is</w:t>
      </w:r>
    </w:p>
    <w:p>
      <w:pPr>
        <w:pBdr>
          <w:bottom w:val="single" w:color="8F3F2B" w:sz="6" w:space="1"/>
        </w:pBdr>
        <w:spacing w:after="160"/>
      </w:pPr>
      <w:r>
        <w:t xml:space="preserve"/>
      </w:r>
    </w:p>
    <w:p>
      <w:pPr>
        <w:spacing w:after="140" w:line="276"/>
      </w:pPr>
      <w:r>
        <w:t xml:space="preserve">Belonging is a residential community — built as a federation of small, human-scale villages — organised around four promises and a set of design principles that keep it durable and trustworthy.</w:t>
      </w:r>
    </w:p>
    <w:p>
      <w:pPr>
        <w:pStyle w:val="Heading2"/>
      </w:pPr>
      <w:r>
        <w:t xml:space="preserve">3.1 The four pillars</w:t>
      </w:r>
    </w:p>
    <w:p>
      <w:pPr>
        <w:pStyle w:val="ListParagraph"/>
        <w:numPr>
          <w:ilvl w:val="0"/>
          <w:numId w:val="3"/>
        </w:numPr>
        <w:spacing w:after="90" w:line="276"/>
      </w:pPr>
      <w:r>
        <w:rPr>
          <w:b/>
          <w:bCs/>
        </w:rPr>
        <w:t xml:space="preserve">Choose your neighbours. </w:t>
      </w:r>
      <w:r>
        <w:t xml:space="preserve">Residents apply to live near the people they want around them, with open space always kept free so friends can move in and so people can move when they wish.</w:t>
      </w:r>
    </w:p>
    <w:p>
      <w:pPr>
        <w:pStyle w:val="ListParagraph"/>
        <w:numPr>
          <w:ilvl w:val="0"/>
          <w:numId w:val="3"/>
        </w:numPr>
        <w:spacing w:after="90" w:line="276"/>
      </w:pPr>
      <w:r>
        <w:rPr>
          <w:b/>
          <w:bCs/>
        </w:rPr>
        <w:t xml:space="preserve">Homes you own, never rent. </w:t>
      </w:r>
      <w:r>
        <w:t xml:space="preserve">Ownership from day one, on a ladder from a free starter shell to full ownership; the land is held in trust so it can’t be speculated on.</w:t>
      </w:r>
    </w:p>
    <w:p>
      <w:pPr>
        <w:pStyle w:val="ListParagraph"/>
        <w:numPr>
          <w:ilvl w:val="0"/>
          <w:numId w:val="3"/>
        </w:numPr>
        <w:spacing w:after="90" w:line="276"/>
      </w:pPr>
      <w:r>
        <w:rPr>
          <w:b/>
          <w:bCs/>
        </w:rPr>
        <w:t xml:space="preserve">Always something to do. </w:t>
      </w:r>
      <w:r>
        <w:t xml:space="preserve">A shared hall where community life happens, plus an app that surfaces what’s on, who’s around, and what work or projects to join.</w:t>
      </w:r>
    </w:p>
    <w:p>
      <w:pPr>
        <w:pStyle w:val="ListParagraph"/>
        <w:numPr>
          <w:ilvl w:val="0"/>
          <w:numId w:val="3"/>
        </w:numPr>
        <w:spacing w:after="90" w:line="276"/>
      </w:pPr>
      <w:r>
        <w:rPr>
          <w:b/>
          <w:bCs/>
        </w:rPr>
        <w:t xml:space="preserve">You design it. </w:t>
      </w:r>
      <w:r>
        <w:t xml:space="preserve">The most local layer of government belongs to residents: self-nominating organisers, an open index of ideas, and funding for ideas that improve the community.</w:t>
      </w:r>
    </w:p>
    <w:p>
      <w:pPr>
        <w:pStyle w:val="Heading2"/>
      </w:pPr>
      <w:r>
        <w:t xml:space="preserve">3.2 The design principles that make it last</w:t>
      </w:r>
    </w:p>
    <w:p>
      <w:pPr>
        <w:spacing w:after="140" w:line="276"/>
      </w:pPr>
      <w:r>
        <w:t xml:space="preserve">Six principles, grounded in research and real-world communities, form the operational backbone (detailed on the website and summarised here):</w:t>
      </w:r>
    </w:p>
    <w:p>
      <w:pPr>
        <w:pStyle w:val="ListParagraph"/>
        <w:numPr>
          <w:ilvl w:val="0"/>
          <w:numId w:val="2"/>
        </w:numPr>
        <w:spacing w:after="90" w:line="276"/>
      </w:pPr>
      <w:r>
        <w:rPr>
          <w:b/>
          <w:bCs/>
        </w:rPr>
        <w:t xml:space="preserve">Governing ourselves </w:t>
      </w:r>
      <w:r>
        <w:t xml:space="preserve">— graduated dispute resolution, an entrenched anti-capture charter, consent-based decisions, and transparent money.</w:t>
      </w:r>
    </w:p>
    <w:p>
      <w:pPr>
        <w:pStyle w:val="ListParagraph"/>
        <w:numPr>
          <w:ilvl w:val="0"/>
          <w:numId w:val="2"/>
        </w:numPr>
        <w:spacing w:after="90" w:line="276"/>
      </w:pPr>
      <w:r>
        <w:rPr>
          <w:b/>
          <w:bCs/>
        </w:rPr>
        <w:t xml:space="preserve">Pulling our weight </w:t>
      </w:r>
      <w:r>
        <w:t xml:space="preserve">— contribution without coercion (time banking), care as infrastructure, and real support pathways.</w:t>
      </w:r>
    </w:p>
    <w:p>
      <w:pPr>
        <w:pStyle w:val="ListParagraph"/>
        <w:numPr>
          <w:ilvl w:val="0"/>
          <w:numId w:val="2"/>
        </w:numPr>
        <w:spacing w:after="90" w:line="276"/>
      </w:pPr>
      <w:r>
        <w:rPr>
          <w:b/>
          <w:bCs/>
        </w:rPr>
        <w:t xml:space="preserve">Built to last </w:t>
      </w:r>
      <w:r>
        <w:t xml:space="preserve">— designing for families and a mix of generations, keeping villages small (around Dunbar’s ~150), pluralism without a creed, and clear succession rules.</w:t>
      </w:r>
    </w:p>
    <w:p>
      <w:pPr>
        <w:pStyle w:val="ListParagraph"/>
        <w:numPr>
          <w:ilvl w:val="0"/>
          <w:numId w:val="2"/>
        </w:numPr>
        <w:spacing w:after="90" w:line="276"/>
      </w:pPr>
      <w:r>
        <w:rPr>
          <w:b/>
          <w:bCs/>
        </w:rPr>
        <w:t xml:space="preserve">Why it works on people </w:t>
      </w:r>
      <w:r>
        <w:t xml:space="preserve">— chosen (not forced) proximity, deliberate social architecture, and the connection-and-health evidence above.</w:t>
      </w:r>
    </w:p>
    <w:p>
      <w:pPr>
        <w:pStyle w:val="ListParagraph"/>
        <w:numPr>
          <w:ilvl w:val="0"/>
          <w:numId w:val="2"/>
        </w:numPr>
        <w:spacing w:after="90" w:line="276"/>
      </w:pPr>
      <w:r>
        <w:rPr>
          <w:b/>
          <w:bCs/>
        </w:rPr>
        <w:t xml:space="preserve">Keeping people safe </w:t>
      </w:r>
      <w:r>
        <w:t xml:space="preserve">— lawful, conduct-based (not identity-based) selection, safeguarding of the vulnerable, and a privacy-first app.</w:t>
      </w:r>
    </w:p>
    <w:p>
      <w:pPr>
        <w:pStyle w:val="ListParagraph"/>
        <w:numPr>
          <w:ilvl w:val="0"/>
          <w:numId w:val="2"/>
        </w:numPr>
        <w:spacing w:after="90" w:line="276"/>
      </w:pPr>
      <w:r>
        <w:rPr>
          <w:b/>
          <w:bCs/>
        </w:rPr>
        <w:t xml:space="preserve">The practical backbone </w:t>
      </w:r>
      <w:r>
        <w:t xml:space="preserve">— the right legal structure, low running costs, economic resilience, and measurement of outcomes.</w:t>
      </w:r>
    </w:p>
    <w:p>
      <w:pPr>
        <w:pStyle w:val="Heading1"/>
      </w:pPr>
      <w:r>
        <w:t xml:space="preserve">4. Market opportunity</w:t>
      </w:r>
    </w:p>
    <w:p>
      <w:pPr>
        <w:pBdr>
          <w:bottom w:val="single" w:color="8F3F2B" w:sz="6" w:space="1"/>
        </w:pBdr>
        <w:spacing w:after="160"/>
      </w:pPr>
      <w:r>
        <w:t xml:space="preserve"/>
      </w:r>
    </w:p>
    <w:p>
      <w:pPr>
        <w:spacing w:after="140" w:line="276"/>
      </w:pPr>
      <w:r>
        <w:t xml:space="preserve">Demand is driven by the same forces creating the problem. Three groups in particular are underserved by the current market:</w:t>
      </w:r>
    </w:p>
    <w:p>
      <w:pPr>
        <w:pStyle w:val="ListParagraph"/>
        <w:numPr>
          <w:ilvl w:val="0"/>
          <w:numId w:val="2"/>
        </w:numPr>
        <w:spacing w:after="90" w:line="276"/>
      </w:pPr>
      <w:r>
        <w:rPr>
          <w:b/>
          <w:bCs/>
        </w:rPr>
        <w:t xml:space="preserve">Priced-out earners </w:t>
      </w:r>
      <w:r>
        <w:t xml:space="preserve">— people on ordinary or part-time incomes who cannot reach secure ownership and are tired of insecure renting or share housing.</w:t>
      </w:r>
    </w:p>
    <w:p>
      <w:pPr>
        <w:pStyle w:val="ListParagraph"/>
        <w:numPr>
          <w:ilvl w:val="0"/>
          <w:numId w:val="2"/>
        </w:numPr>
        <w:spacing w:after="90" w:line="276"/>
      </w:pPr>
      <w:r>
        <w:rPr>
          <w:b/>
          <w:bCs/>
        </w:rPr>
        <w:t xml:space="preserve">The isolated </w:t>
      </w:r>
      <w:r>
        <w:t xml:space="preserve">— people of all ages, including a growing cohort of older people living alone, for whom no product offers designed local belonging.</w:t>
      </w:r>
    </w:p>
    <w:p>
      <w:pPr>
        <w:pStyle w:val="ListParagraph"/>
        <w:numPr>
          <w:ilvl w:val="0"/>
          <w:numId w:val="2"/>
        </w:numPr>
        <w:spacing w:after="90" w:line="276"/>
      </w:pPr>
      <w:r>
        <w:rPr>
          <w:b/>
          <w:bCs/>
        </w:rPr>
        <w:t xml:space="preserve">Migrating/relocating households </w:t>
      </w:r>
      <w:r>
        <w:t xml:space="preserve">— people willing to move for affordability, work, or community, who currently choose between expensive cities and cheap places with no opportunity or community.</w:t>
      </w:r>
    </w:p>
    <w:p>
      <w:pPr>
        <w:spacing w:after="140" w:line="276"/>
      </w:pPr>
      <w:r>
        <w:rPr>
          <w:b/>
          <w:bCs/>
        </w:rPr>
        <w:t xml:space="preserve">Why now. </w:t>
      </w:r>
      <w:r>
        <w:t xml:space="preserve">Affordability has deteriorated fast enough that alternatives once considered fringe are entering the mainstream conversation, and governments are actively seeking supply and social-housing solutions. A model that delivers affordability, supply, and measurable wellbeing simultaneously is well-timed for both buyers and policy support.</w:t>
      </w:r>
    </w:p>
    <w:p>
      <w:pPr>
        <w:spacing w:after="140" w:line="276"/>
      </w:pPr>
      <w:r>
        <w:rPr>
          <w:b/>
          <w:bCs/>
        </w:rPr>
        <w:t xml:space="preserve">Comparable models </w:t>
      </w:r>
      <w:r>
        <w:t xml:space="preserve">(community land trusts, housing co-operatives, cohousing, Singapore’s public-housing approach, Zurich’s cost-rent co-ops) prove the individual mechanisms work. Belonging’s differentiation is combining them with the “choose your neighbours” mechanic and kept-open space — a combination not currently offered.</w:t>
      </w:r>
    </w:p>
    <w:p>
      <w:pPr>
        <w:pStyle w:val="Heading1"/>
      </w:pPr>
      <w:r>
        <w:t xml:space="preserve">5. Business model and revenue</w:t>
      </w:r>
    </w:p>
    <w:p>
      <w:pPr>
        <w:pBdr>
          <w:bottom w:val="single" w:color="8F3F2B" w:sz="6" w:space="1"/>
        </w:pBdr>
        <w:spacing w:after="160"/>
      </w:pPr>
      <w:r>
        <w:t xml:space="preserve"/>
      </w:r>
    </w:p>
    <w:p>
      <w:pPr>
        <w:spacing w:after="140" w:line="276"/>
      </w:pPr>
      <w:r>
        <w:t xml:space="preserve">Belonging is structured as a partly not-for-profit venture: it aims to create genuine social value and to return investor capital. Revenue and value come from several complementary streams.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4760"/>
        <w:gridCol w:w="2400"/>
      </w:tblGrid>
      <w:tr>
        <w:tc>
          <w:tcPr>
            <w:tcW w:type="dxa" w:w="22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Stream</w:t>
            </w:r>
          </w:p>
        </w:tc>
        <w:tc>
          <w:tcPr>
            <w:tcW w:type="dxa" w:w="476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How it works</w:t>
            </w:r>
          </w:p>
        </w:tc>
        <w:tc>
          <w:tcPr>
            <w:tcW w:type="dxa" w:w="24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Who benefits</w:t>
            </w:r>
          </w:p>
        </w:tc>
      </w:tr>
      <w:tr>
        <w:tc>
          <w:tcPr>
            <w:tcW w:type="dxa" w:w="22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Market-rate home sales</w:t>
            </w:r>
          </w:p>
        </w:tc>
        <w:tc>
          <w:tcPr>
            <w:tcW w:type="dxa" w:w="4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 portion of homes (the “sell” side) are sold at market value, cross-subsidising the affordable core and repaying investors.</w:t>
            </w:r>
          </w:p>
        </w:tc>
        <w:tc>
          <w:tcPr>
            <w:tcW w:type="dxa" w:w="2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Investors; affordable core</w:t>
            </w:r>
          </w:p>
        </w:tc>
      </w:tr>
      <w:tr>
        <w:tc>
          <w:tcPr>
            <w:tcW w:type="dxa" w:w="22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Land-value uplift</w:t>
            </w:r>
          </w:p>
        </w:tc>
        <w:tc>
          <w:tcPr>
            <w:tcW w:type="dxa" w:w="4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Reviving cheap, distressed, or remote land into a desirable community raises land value; the trust captures uplift that would otherwise go to speculators.</w:t>
            </w:r>
          </w:p>
        </w:tc>
        <w:tc>
          <w:tcPr>
            <w:tcW w:type="dxa" w:w="2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Community fund; investor vehicle (sell side)</w:t>
            </w:r>
          </w:p>
        </w:tc>
      </w:tr>
      <w:tr>
        <w:tc>
          <w:tcPr>
            <w:tcW w:type="dxa" w:w="22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Construction margin</w:t>
            </w:r>
          </w:p>
        </w:tc>
        <w:tc>
          <w:tcPr>
            <w:tcW w:type="dxa" w:w="4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 “build-anytime” programme supplies parts, plans, and inspection on commission, earning margin while keeping supply ahead of demand.</w:t>
            </w:r>
          </w:p>
        </w:tc>
        <w:tc>
          <w:tcPr>
            <w:tcW w:type="dxa" w:w="2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Community fund; local workers</w:t>
            </w:r>
          </w:p>
        </w:tc>
      </w:tr>
      <w:tr>
        <w:tc>
          <w:tcPr>
            <w:tcW w:type="dxa" w:w="22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Local business equity</w:t>
            </w:r>
          </w:p>
        </w:tc>
        <w:tc>
          <w:tcPr>
            <w:tcW w:type="dxa" w:w="4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The community part-owns local businesses it helps start, until they are paid off; a share of profit funds community ideas.</w:t>
            </w:r>
          </w:p>
        </w:tc>
        <w:tc>
          <w:tcPr>
            <w:tcW w:type="dxa" w:w="2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Community fund</w:t>
            </w:r>
          </w:p>
        </w:tc>
      </w:tr>
      <w:tr>
        <w:tc>
          <w:tcPr>
            <w:tcW w:type="dxa" w:w="22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Services &amp; utilities</w:t>
            </w:r>
          </w:p>
        </w:tc>
        <w:tc>
          <w:tcPr>
            <w:tcW w:type="dxa" w:w="4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Community-scale power, water, internet and similar, run at scale and metered, lower residents’ bills and create modest surplus.</w:t>
            </w:r>
          </w:p>
        </w:tc>
        <w:tc>
          <w:tcPr>
            <w:tcW w:type="dxa" w:w="24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Residents; community fund</w:t>
            </w:r>
          </w:p>
        </w:tc>
      </w:tr>
    </w:tbl>
    <w:p>
      <w:pPr>
        <w:spacing w:after="140" w:line="276"/>
      </w:pPr>
      <w:r>
        <w:rPr>
          <w:b/>
          <w:bCs/>
        </w:rPr>
        <w:t xml:space="preserve">Affordability without subsidy dependence. </w:t>
      </w:r>
      <w:r>
        <w:t xml:space="preserve">Because land speculation is removed and labour can substitute for capital (sweat equity), homes are cheap to deliver. The free “floor” (a basic shell at no purchase price or rent) is funded from land-value uplift, the local-business profit share, and construction margin — not from ongoing external subsidy.</w:t>
      </w:r>
    </w:p>
    <w:p>
      <w:pPr>
        <w:spacing w:after="140" w:line="276"/>
      </w:pPr>
      <w:r>
        <w:rPr>
          <w:b/>
          <w:bCs/>
        </w:rPr>
        <w:t xml:space="preserve">The investor proposition. </w:t>
      </w:r>
      <w:r>
        <w:t xml:space="preserve">Capital is repaid from market-rate sales and construction margin, with upside from land-value uplift as the area is revived. Returns are structured through a separate, clearly-bounded vehicle so that the affordable core and the land trust are never sold off to satisfy them. The downside is explicitly limited: in the worst case investors hold land (a real asset), with unspent funds refunded.</w:t>
      </w:r>
    </w:p>
    <w:p>
      <w:pPr>
        <w:pStyle w:val="Heading1"/>
      </w:pPr>
      <w:r>
        <w:t xml:space="preserve">6. The ownership and affordability model</w:t>
      </w:r>
    </w:p>
    <w:p>
      <w:pPr>
        <w:pBdr>
          <w:bottom w:val="single" w:color="8F3F2B" w:sz="6" w:space="1"/>
        </w:pBdr>
        <w:spacing w:after="160"/>
      </w:pPr>
      <w:r>
        <w:t xml:space="preserve"/>
      </w:r>
    </w:p>
    <w:p>
      <w:pPr>
        <w:spacing w:after="140" w:line="276"/>
      </w:pPr>
      <w:r>
        <w:t xml:space="preserve">A home stays affordable — for this resident and the next — through five linked mechanisms:</w:t>
      </w:r>
    </w:p>
    <w:p>
      <w:pPr>
        <w:pStyle w:val="ListParagraph"/>
        <w:numPr>
          <w:ilvl w:val="0"/>
          <w:numId w:val="4"/>
        </w:numPr>
        <w:spacing w:after="90" w:line="276"/>
      </w:pPr>
      <w:r>
        <w:rPr>
          <w:b/>
          <w:bCs/>
        </w:rPr>
        <w:t xml:space="preserve">Land held in trust. </w:t>
      </w:r>
      <w:r>
        <w:t xml:space="preserve">A non-profit community land trust owns the land permanently; residents own only the buildings. This removes land speculation from the price.</w:t>
      </w:r>
    </w:p>
    <w:p>
      <w:pPr>
        <w:pStyle w:val="ListParagraph"/>
        <w:numPr>
          <w:ilvl w:val="0"/>
          <w:numId w:val="4"/>
        </w:numPr>
        <w:spacing w:after="90" w:line="276"/>
      </w:pPr>
      <w:r>
        <w:rPr>
          <w:b/>
          <w:bCs/>
        </w:rPr>
        <w:t xml:space="preserve">Own from day one, never rent. </w:t>
      </w:r>
      <w:r>
        <w:t xml:space="preserve">Residents pay off the value of their home over time (e.g. around 30% of income). On leaving, they sell back at a set formula — cost plus verified improvements plus a modest adjustment — not an inflated market price.</w:t>
      </w:r>
    </w:p>
    <w:p>
      <w:pPr>
        <w:pStyle w:val="ListParagraph"/>
        <w:numPr>
          <w:ilvl w:val="0"/>
          <w:numId w:val="4"/>
        </w:numPr>
        <w:spacing w:after="90" w:line="276"/>
      </w:pPr>
      <w:r>
        <w:rPr>
          <w:b/>
          <w:bCs/>
        </w:rPr>
        <w:t xml:space="preserve">Sweat equity. </w:t>
      </w:r>
      <w:r>
        <w:t xml:space="preserve">Modular shells arrive with utilities stubbed in; residents finish and connect them at their own pace, turning time into equity.</w:t>
      </w:r>
    </w:p>
    <w:p>
      <w:pPr>
        <w:pStyle w:val="ListParagraph"/>
        <w:numPr>
          <w:ilvl w:val="0"/>
          <w:numId w:val="4"/>
        </w:numPr>
        <w:spacing w:after="90" w:line="276"/>
      </w:pPr>
      <w:r>
        <w:rPr>
          <w:b/>
          <w:bCs/>
        </w:rPr>
        <w:t xml:space="preserve">Build-anytime as paid work. </w:t>
      </w:r>
      <w:r>
        <w:t xml:space="preserve">Anyone can build new space when they wish, funded by commission on sale — creating casual work and keeping supply ahead of demand.</w:t>
      </w:r>
    </w:p>
    <w:p>
      <w:pPr>
        <w:pStyle w:val="ListParagraph"/>
        <w:numPr>
          <w:ilvl w:val="0"/>
          <w:numId w:val="4"/>
        </w:numPr>
        <w:spacing w:after="90" w:line="276"/>
      </w:pPr>
      <w:r>
        <w:rPr>
          <w:b/>
          <w:bCs/>
        </w:rPr>
        <w:t xml:space="preserve">Anti-speculation rule. </w:t>
      </w:r>
      <w:r>
        <w:t xml:space="preserve">Money is made by building or improving, never by holding for price rises; hoarding is taxed away. This stops a cheap community becoming the next unaffordable one.</w:t>
      </w:r>
    </w:p>
    <w:p>
      <w:pPr>
        <w:spacing w:after="140" w:line="276"/>
      </w:pPr>
      <w:r>
        <w:rPr>
          <w:b/>
          <w:bCs/>
        </w:rPr>
        <w:t xml:space="preserve">The affordability ladder: </w:t>
      </w:r>
      <w:r>
        <w:t xml:space="preserve">a free starter shell (utilities only) → sweat-equity finishing → part-ownership (a quarter or a third) → full ownership. Residents can stay on any rung for life, or climb when able.</w:t>
      </w:r>
    </w:p>
    <w:p>
      <w:pPr>
        <w:spacing w:after="140" w:line="276"/>
      </w:pPr>
      <w:r>
        <w:rPr>
          <w:b/>
          <w:bCs/>
        </w:rPr>
        <w:t xml:space="preserve">The one honest trade-off, stated plainly: </w:t>
      </w:r>
      <w:r>
        <w:t xml:space="preserve">residents give up the ability to profit from rising prices in exchange for security and a low cost of living. This is a feature, not a flaw, and being upfront about it builds trust.</w:t>
      </w:r>
    </w:p>
    <w:p>
      <w:pPr>
        <w:pStyle w:val="Heading1"/>
      </w:pPr>
      <w:r>
        <w:t xml:space="preserve">7. Rollout strategy</w:t>
      </w:r>
    </w:p>
    <w:p>
      <w:pPr>
        <w:pBdr>
          <w:bottom w:val="single" w:color="8F3F2B" w:sz="6" w:space="1"/>
        </w:pBdr>
        <w:spacing w:after="160"/>
      </w:pPr>
      <w:r>
        <w:t xml:space="preserve"/>
      </w:r>
    </w:p>
    <w:p>
      <w:pPr>
        <w:spacing w:after="140" w:line="276"/>
      </w:pPr>
      <w:r>
        <w:t xml:space="preserve">Belonging starts with a single proof-of-concept village and replicates. A phased approach limits risk and lets each stage fund the next.</w:t>
      </w:r>
    </w:p>
    <w:p>
      <w:pPr>
        <w:pStyle w:val="Heading2"/>
      </w:pPr>
      <w:r>
        <w:t xml:space="preserve">Phase 0 — Foundation</w:t>
      </w:r>
    </w:p>
    <w:p>
      <w:pPr>
        <w:pStyle w:val="ListParagraph"/>
        <w:numPr>
          <w:ilvl w:val="0"/>
          <w:numId w:val="2"/>
        </w:numPr>
        <w:spacing w:after="90" w:line="276"/>
      </w:pPr>
      <w:r>
        <w:t xml:space="preserve">Secure an affordable site: cheap, distressed, or under-used land (e.g. within reach of a regional centre), or a revitalisation site such as a depopulated town.</w:t>
      </w:r>
    </w:p>
    <w:p>
      <w:pPr>
        <w:pStyle w:val="ListParagraph"/>
        <w:numPr>
          <w:ilvl w:val="0"/>
          <w:numId w:val="2"/>
        </w:numPr>
        <w:spacing w:after="90" w:line="276"/>
      </w:pPr>
      <w:r>
        <w:t xml:space="preserve">Establish the legal structure (land trust + co-operative governance + investor vehicle) with professional advice; obtain planning and council approvals.</w:t>
      </w:r>
    </w:p>
    <w:p>
      <w:pPr>
        <w:pStyle w:val="Heading2"/>
      </w:pPr>
      <w:r>
        <w:t xml:space="preserve">Phase 1 — First village (the proof point)</w:t>
      </w:r>
    </w:p>
    <w:p>
      <w:pPr>
        <w:pStyle w:val="ListParagraph"/>
        <w:numPr>
          <w:ilvl w:val="0"/>
          <w:numId w:val="2"/>
        </w:numPr>
        <w:spacing w:after="90" w:line="276"/>
      </w:pPr>
      <w:r>
        <w:t xml:space="preserve">Build the first starter homes and modular shells, including low-income room ownership; establish the shared hall and the app’s first version.</w:t>
      </w:r>
    </w:p>
    <w:p>
      <w:pPr>
        <w:pStyle w:val="ListParagraph"/>
        <w:numPr>
          <w:ilvl w:val="0"/>
          <w:numId w:val="2"/>
        </w:numPr>
        <w:spacing w:after="90" w:line="276"/>
      </w:pPr>
      <w:r>
        <w:t xml:space="preserve">Onboard founding residents via conduct-based selection and a welcome/trial process; stand up self-government and the community fund.</w:t>
      </w:r>
    </w:p>
    <w:p>
      <w:pPr>
        <w:pStyle w:val="Heading2"/>
      </w:pPr>
      <w:r>
        <w:t xml:space="preserve">Phase 2 — Growth and migration</w:t>
      </w:r>
    </w:p>
    <w:p>
      <w:pPr>
        <w:pStyle w:val="ListParagraph"/>
        <w:numPr>
          <w:ilvl w:val="0"/>
          <w:numId w:val="2"/>
        </w:numPr>
        <w:spacing w:after="90" w:line="276"/>
      </w:pPr>
      <w:r>
        <w:t xml:space="preserve">Attract residents through affordability, work, events, and promotions; grow local businesses and a few exportable goods/services to bring outside income in.</w:t>
      </w:r>
    </w:p>
    <w:p>
      <w:pPr>
        <w:pStyle w:val="ListParagraph"/>
        <w:numPr>
          <w:ilvl w:val="0"/>
          <w:numId w:val="2"/>
        </w:numPr>
        <w:spacing w:after="90" w:line="276"/>
      </w:pPr>
      <w:r>
        <w:t xml:space="preserve">Begin market-rate sales on the “sell” side to fund the affordable core and repay investors; capture land-value uplift as the area becomes desirable.</w:t>
      </w:r>
    </w:p>
    <w:p>
      <w:pPr>
        <w:pStyle w:val="Heading2"/>
      </w:pPr>
      <w:r>
        <w:t xml:space="preserve">Phase 3 — Federation</w:t>
      </w:r>
    </w:p>
    <w:p>
      <w:pPr>
        <w:pStyle w:val="ListParagraph"/>
        <w:numPr>
          <w:ilvl w:val="0"/>
          <w:numId w:val="2"/>
        </w:numPr>
        <w:spacing w:after="90" w:line="276"/>
      </w:pPr>
      <w:r>
        <w:t xml:space="preserve">Replicate as a federation of small villages sharing infrastructure; “bud” a new village when one fills rather than letting any single settlement grow past human scale.</w:t>
      </w:r>
    </w:p>
    <w:p>
      <w:pPr>
        <w:pStyle w:val="Heading1"/>
      </w:pPr>
      <w:r>
        <w:t xml:space="preserve">8. Legal structure, risk, and safeguards</w:t>
      </w:r>
    </w:p>
    <w:p>
      <w:pPr>
        <w:pBdr>
          <w:bottom w:val="single" w:color="8F3F2B" w:sz="6" w:space="1"/>
        </w:pBdr>
        <w:spacing w:after="160"/>
      </w:pPr>
      <w:r>
        <w:t xml:space="preserve"/>
      </w:r>
    </w:p>
    <w:p>
      <w:pPr>
        <w:pStyle w:val="Heading2"/>
      </w:pPr>
      <w:r>
        <w:t xml:space="preserve">8.1 Legal structure</w:t>
      </w:r>
    </w:p>
    <w:p>
      <w:pPr>
        <w:spacing w:after="140" w:line="276"/>
      </w:pPr>
      <w:r>
        <w:t xml:space="preserve">The likely structure is a hybrid: a community land trust (or non-profit) holding the land and the charter; co-operative, consent-based governance; and a separate, clearly-bounded vehicle to take outside capital and repay it from the market-rate side. The exact form depends on jurisdiction and must be confirmed with a qualified lawyer and accountant.</w:t>
      </w:r>
    </w:p>
    <w:p>
      <w:pPr>
        <w:pStyle w:val="Heading2"/>
      </w:pPr>
      <w:r>
        <w:t xml:space="preserve">8.2 Key risks and mitigations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Risk</w:t>
            </w:r>
          </w:p>
        </w:tc>
        <w:tc>
          <w:tcPr>
            <w:tcW w:type="dxa" w:w="636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Mitigation</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Planning / approval delays</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Phase 0 secures approvals before major build; engage councils early on the affordability and supply benefits.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Discrimination exposure in resident selection</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Select on conduct and shared commitments, never protected attributes; legal review of all selection rules.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Capture of land or rules by insiders</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Entrenched charter requiring cross-village supermajority and a waiting period to change core promises.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Privacy / safety of the app</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Data minimisation, easy “invisible” mode, per-feature consent, strong security from the outset.</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Safeguarding of vulnerable residents</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Trusted contacts, clear routes to professional and crisis services; community notices and connects, never handles danger itself.</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Demand / take-up uncertainty</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Start small with a single village; validate with real residents before scaling.</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Construction cost / delivery</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Modular methods, sweat equity, and build-anytime keep costs flexible and supply responsive.</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Key-person dependence</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Document the model, build governance early, and distribute roles.</w:t>
            </w:r>
          </w:p>
        </w:tc>
      </w:tr>
    </w:tbl>
    <w:p>
      <w:pPr>
        <w:pStyle w:val="Heading1"/>
      </w:pPr>
      <w:r>
        <w:t xml:space="preserve">9. Illustrative financials</w:t>
      </w:r>
    </w:p>
    <w:p>
      <w:pPr>
        <w:pBdr>
          <w:bottom w:val="single" w:color="8F3F2B" w:sz="6" w:space="1"/>
        </w:pBdr>
        <w:spacing w:after="160"/>
      </w:pPr>
      <w:r>
        <w:t xml:space="preserve"/>
      </w:r>
    </w:p>
    <w:p>
      <w:pPr>
        <w:pBdr>
          <w:left w:val="single" w:color="5E6B50" w:sz="18" w:space="8"/>
        </w:pBdr>
        <w:shd w:fill="EFE5D6" w:val="clear"/>
        <w:spacing w:after="160" w:before="120"/>
      </w:pPr>
      <w:r>
        <w:rPr>
          <w:i/>
          <w:iCs/>
          <w:sz w:val="18"/>
          <w:szCs w:val="18"/>
        </w:rPr>
        <w:t xml:space="preserve">The figures below are illustrative placeholders to show how the model is intended to work — not forecasts, valuations, or advice. Real numbers depend on the specific site and must be built with an accountant and a quantity surveyor.</w:t>
      </w:r>
    </w:p>
    <w:p>
      <w:pPr>
        <w:spacing w:after="140" w:line="276"/>
      </w:pPr>
      <w:r>
        <w:t xml:space="preserve">A simplified, single-village illustration (replace with site-specific figures):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Line</w:t>
            </w:r>
          </w:p>
        </w:tc>
        <w:tc>
          <w:tcPr>
            <w:tcW w:type="dxa" w:w="636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Illustrative basis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Land acquisition</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Cheap / distressed / regional site — the lower the land cost, the larger the affordability and uplift margin.</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Build cost per home</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Reduced via modular shells + resident sweat equity; only core shell and shared utilities are capital-funded.</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Affordable homes</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Sold at cost-formula prices; repaid over time at ~30% of resident income.</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Market-rate homes (“sell” side)</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A defined proportion sold at market value to cross-subsidise the core and repay investors.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Community fund inflows</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Land-value uplift share + local-business profit share + construction margin + utility surplus.</w:t>
            </w:r>
          </w:p>
        </w:tc>
      </w:tr>
      <w:tr>
        <w:tc>
          <w:tcPr>
            <w:tcW w:type="dxa" w:w="30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Investor repayment</w:t>
            </w:r>
          </w:p>
        </w:tc>
        <w:tc>
          <w:tcPr>
            <w:tcW w:type="dxa" w:w="63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From market-rate sales and construction margin; upside from land-value uplift.</w:t>
            </w:r>
          </w:p>
        </w:tc>
      </w:tr>
    </w:tbl>
    <w:p>
      <w:pPr>
        <w:spacing w:after="140" w:line="276"/>
      </w:pPr>
      <w:r>
        <w:rPr>
          <w:b/>
          <w:bCs/>
        </w:rPr>
        <w:t xml:space="preserve">Sensitivity. </w:t>
      </w:r>
      <w:r>
        <w:t xml:space="preserve">The model’s strength rises as initial land cost falls and as the proportion of value created through revival (uplift) increases. The model’s key external assumption is that a revived, desirable community lifts surrounding land value — a pattern observed where migration and amenity arrive, though never guaranteed.</w:t>
      </w:r>
    </w:p>
    <w:p>
      <w:pPr>
        <w:pStyle w:val="Heading1"/>
      </w:pPr>
      <w:r>
        <w:t xml:space="preserve">10. Use of funds and the ask</w:t>
      </w:r>
    </w:p>
    <w:p>
      <w:pPr>
        <w:pBdr>
          <w:bottom w:val="single" w:color="8F3F2B" w:sz="6" w:space="1"/>
        </w:pBdr>
        <w:spacing w:after="160"/>
      </w:pPr>
      <w:r>
        <w:t xml:space="preserve"/>
      </w:r>
    </w:p>
    <w:p>
      <w:pPr>
        <w:spacing w:after="140" w:line="276"/>
      </w:pPr>
      <w:r>
        <w:t xml:space="preserve">Initial capital is sought to fund Phase 0 and Phase 1: securing a site, establishing the legal structure, and building the first village as the replicable proof point.</w:t>
      </w:r>
    </w:p>
    <w:p>
      <w:pPr>
        <w:pStyle w:val="ListParagraph"/>
        <w:numPr>
          <w:ilvl w:val="0"/>
          <w:numId w:val="2"/>
        </w:numPr>
        <w:spacing w:after="90" w:line="276"/>
      </w:pPr>
      <w:r>
        <w:t xml:space="preserve">Site acquisition and due diligence</w:t>
      </w:r>
    </w:p>
    <w:p>
      <w:pPr>
        <w:pStyle w:val="ListParagraph"/>
        <w:numPr>
          <w:ilvl w:val="0"/>
          <w:numId w:val="2"/>
        </w:numPr>
        <w:spacing w:after="90" w:line="276"/>
      </w:pPr>
      <w:r>
        <w:t xml:space="preserve">Legal and structuring (trust, co-operative, investor vehicle), planning and approvals</w:t>
      </w:r>
    </w:p>
    <w:p>
      <w:pPr>
        <w:pStyle w:val="ListParagraph"/>
        <w:numPr>
          <w:ilvl w:val="0"/>
          <w:numId w:val="2"/>
        </w:numPr>
        <w:spacing w:after="90" w:line="276"/>
      </w:pPr>
      <w:r>
        <w:t xml:space="preserve">First-village construction: starter shells, shared hall, core utilities</w:t>
      </w:r>
    </w:p>
    <w:p>
      <w:pPr>
        <w:pStyle w:val="ListParagraph"/>
        <w:numPr>
          <w:ilvl w:val="0"/>
          <w:numId w:val="2"/>
        </w:numPr>
        <w:spacing w:after="90" w:line="276"/>
      </w:pPr>
      <w:r>
        <w:t xml:space="preserve">App (first version) and onboarding systems</w:t>
      </w:r>
    </w:p>
    <w:p>
      <w:pPr>
        <w:pStyle w:val="ListParagraph"/>
        <w:numPr>
          <w:ilvl w:val="0"/>
          <w:numId w:val="2"/>
        </w:numPr>
        <w:spacing w:after="90" w:line="276"/>
      </w:pPr>
      <w:r>
        <w:t xml:space="preserve">Working capital to Phase 2 (first market-rate sales)</w:t>
      </w:r>
    </w:p>
    <w:p>
      <w:pPr>
        <w:spacing w:after="140" w:line="276"/>
      </w:pPr>
      <w:r>
        <w:rPr>
          <w:b/>
          <w:bCs/>
        </w:rPr>
        <w:t xml:space="preserve">Worst case, stated plainly: </w:t>
      </w:r>
      <w:r>
        <w:t xml:space="preserve">if the community does not proceed, investors are left holding land — a real, saleable asset — and any surplus funds are refunded. This honesty is part of the proposition.</w:t>
      </w:r>
    </w:p>
    <w:p>
      <w:pPr>
        <w:pStyle w:val="Heading1"/>
      </w:pPr>
      <w:r>
        <w:t xml:space="preserve">11. Milestones</w:t>
      </w:r>
    </w:p>
    <w:p>
      <w:pPr>
        <w:pBdr>
          <w:bottom w:val="single" w:color="8F3F2B" w:sz="6" w:space="1"/>
        </w:pBd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Stage</w:t>
            </w:r>
          </w:p>
        </w:tc>
        <w:tc>
          <w:tcPr>
            <w:tcW w:type="dxa" w:w="6760"/>
            <w:tcBorders>
              <w:top w:val="single" w:color="CCCCCC" w:sz="1"/>
              <w:left w:val="single" w:color="CCCCCC" w:sz="1"/>
              <w:bottom w:val="single" w:color="CCCCCC" w:sz="1"/>
              <w:right w:val="single" w:color="CCCCCC" w:sz="1"/>
            </w:tcBorders>
            <w:shd w:fill="EFE5D6" w:val="clear"/>
            <w:tcMar>
              <w:top w:type="dxa" w:w="70"/>
              <w:left w:type="dxa" w:w="120"/>
              <w:bottom w:type="dxa" w:w="70"/>
              <w:right w:type="dxa" w:w="120"/>
            </w:tcMar>
          </w:tcPr>
          <w:p>
            <w:r>
              <w:rPr>
                <w:b/>
                <w:bCs/>
              </w:rPr>
              <w:t xml:space="preserve">Milestone</w:t>
            </w:r>
          </w:p>
        </w:tc>
      </w:tr>
      <w:tr>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Foundation</w:t>
            </w:r>
          </w:p>
        </w:tc>
        <w:tc>
          <w:tcPr>
            <w:tcW w:type="dxa" w:w="6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Site secured · legal structure established · approvals obtained</w:t>
            </w:r>
          </w:p>
        </w:tc>
      </w:tr>
      <w:tr>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First village</w:t>
            </w:r>
          </w:p>
        </w:tc>
        <w:tc>
          <w:tcPr>
            <w:tcW w:type="dxa" w:w="6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First homes built · founding residents onboarded · hall and app live · self-government running</w:t>
            </w:r>
          </w:p>
        </w:tc>
      </w:tr>
      <w:tr>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Growth</w:t>
            </w:r>
          </w:p>
        </w:tc>
        <w:tc>
          <w:tcPr>
            <w:tcW w:type="dxa" w:w="6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Local businesses started · first market-rate sales · investor repayment begins · measured wellbeing outcomes</w:t>
            </w:r>
          </w:p>
        </w:tc>
      </w:tr>
      <w:tr>
        <w:tc>
          <w:tcPr>
            <w:tcW w:type="dxa" w:w="260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Federation</w:t>
            </w:r>
          </w:p>
        </w:tc>
        <w:tc>
          <w:tcPr>
            <w:tcW w:type="dxa" w:w="6760"/>
            <w:tcBorders>
              <w:top w:val="single" w:color="CCCCCC" w:sz="1"/>
              <w:left w:val="single" w:color="CCCCCC" w:sz="1"/>
              <w:bottom w:val="single" w:color="CCCCCC" w:sz="1"/>
              <w:right w:val="single" w:color="CCCCCC" w:sz="1"/>
            </w:tcBorders>
            <w:tcMar>
              <w:top w:type="dxa" w:w="70"/>
              <w:left w:type="dxa" w:w="120"/>
              <w:bottom w:type="dxa" w:w="70"/>
              <w:right w:type="dxa" w:w="120"/>
            </w:tcMar>
          </w:tcPr>
          <w:p>
            <w:r>
              <w:rPr>
                <w:b w:val="false"/>
                <w:bCs w:val="false"/>
              </w:rPr>
              <w:t xml:space="preserve">Second village budded · shared infrastructure · replication playbook</w:t>
            </w:r>
          </w:p>
        </w:tc>
      </w:tr>
    </w:tbl>
    <w:p>
      <w:pPr>
        <w:pStyle w:val="Heading1"/>
      </w:pPr>
      <w:r>
        <w:t xml:space="preserve">12. Founder and team</w:t>
      </w:r>
    </w:p>
    <w:p>
      <w:pPr>
        <w:pBdr>
          <w:bottom w:val="single" w:color="8F3F2B" w:sz="6" w:space="1"/>
        </w:pBdr>
        <w:spacing w:after="160"/>
      </w:pPr>
      <w:r>
        <w:t xml:space="preserve"/>
      </w:r>
    </w:p>
    <w:p>
      <w:pPr>
        <w:spacing w:after="140" w:line="276"/>
      </w:pPr>
      <w:r>
        <w:t xml:space="preserve">Belonging began as a detailed book of ideas by its founder, drawn from lived experience of insecure housing and isolation — the very problems the venture addresses. That first-hand understanding is a genuine asset: the model is designed from the inside out, for real people in a real situation, not as an abstract scheme.</w:t>
      </w:r>
    </w:p>
    <w:p>
      <w:pPr>
        <w:spacing w:after="140" w:line="276"/>
      </w:pPr>
      <w:r>
        <w:rPr>
          <w:b/>
          <w:bCs/>
        </w:rPr>
        <w:t xml:space="preserve">Near-term team needs </w:t>
      </w:r>
      <w:r>
        <w:t xml:space="preserve">(to be filled as the venture forms): development/construction lead, legal and structuring counsel, finance/accounting, community and operations, and app/product. Advisors in community land trusts, co-operative housing, and planning would materially de-risk delivery.</w:t>
      </w:r>
    </w:p>
    <w:p>
      <w:pPr>
        <w:pStyle w:val="Heading1"/>
      </w:pPr>
      <w:r>
        <w:t xml:space="preserve">13. How to use this business plan</w:t>
      </w:r>
    </w:p>
    <w:p>
      <w:pPr>
        <w:pBdr>
          <w:bottom w:val="single" w:color="8F3F2B" w:sz="6" w:space="1"/>
        </w:pBdr>
        <w:spacing w:after="160"/>
      </w:pPr>
      <w:r>
        <w:t xml:space="preserve"/>
      </w:r>
    </w:p>
    <w:p>
      <w:pPr>
        <w:spacing w:after="140" w:line="276"/>
      </w:pPr>
      <w:r>
        <w:t xml:space="preserve">This document is a v1 working plan. It is most useful when paired with the website (the public, emotional face of the project) and adapted to each audience:</w:t>
      </w:r>
    </w:p>
    <w:p>
      <w:pPr>
        <w:pStyle w:val="ListParagraph"/>
        <w:numPr>
          <w:ilvl w:val="0"/>
          <w:numId w:val="5"/>
        </w:numPr>
        <w:spacing w:after="90" w:line="276"/>
      </w:pPr>
      <w:r>
        <w:rPr>
          <w:b/>
          <w:bCs/>
        </w:rPr>
        <w:t xml:space="preserve">For investors: </w:t>
      </w:r>
      <w:r>
        <w:t xml:space="preserve">lead with the executive summary, the market data (Section 2), the business model and returns (Section 5), and the ask (Section 10). Bring the website to convey the vision, and this plan to show the thinking is serious and the risks are faced.</w:t>
      </w:r>
    </w:p>
    <w:p>
      <w:pPr>
        <w:pStyle w:val="ListParagraph"/>
        <w:numPr>
          <w:ilvl w:val="0"/>
          <w:numId w:val="5"/>
        </w:numPr>
        <w:spacing w:after="90" w:line="276"/>
      </w:pPr>
      <w:r>
        <w:rPr>
          <w:b/>
          <w:bCs/>
        </w:rPr>
        <w:t xml:space="preserve">For councils and planning: </w:t>
      </w:r>
      <w:r>
        <w:t xml:space="preserve">lead with the affordability and supply case (Section 2.1), the community and wellbeing benefit (Section 2.2), and the safeguards (Section 8). Emphasise that the model adds housing supply and measurable social value.</w:t>
      </w:r>
    </w:p>
    <w:p>
      <w:pPr>
        <w:pStyle w:val="ListParagraph"/>
        <w:numPr>
          <w:ilvl w:val="0"/>
          <w:numId w:val="5"/>
        </w:numPr>
        <w:spacing w:after="90" w:line="276"/>
      </w:pPr>
      <w:r>
        <w:rPr>
          <w:b/>
          <w:bCs/>
        </w:rPr>
        <w:t xml:space="preserve">For prospective residents and partners: </w:t>
      </w:r>
      <w:r>
        <w:t xml:space="preserve">lead with the website and the four pillars; use this plan to show the project is grounded and durable.</w:t>
      </w:r>
    </w:p>
    <w:p>
      <w:pPr>
        <w:pStyle w:val="ListParagraph"/>
        <w:numPr>
          <w:ilvl w:val="0"/>
          <w:numId w:val="5"/>
        </w:numPr>
        <w:spacing w:after="90" w:line="276"/>
      </w:pPr>
      <w:r>
        <w:rPr>
          <w:b/>
          <w:bCs/>
        </w:rPr>
        <w:t xml:space="preserve">Before raising money or signing anything: </w:t>
      </w:r>
      <w:r>
        <w:t xml:space="preserve">replace the illustrative financials with a site-specific model built by an accountant and quantity surveyor, and confirm the legal structure with a lawyer. Treat every figure here as a placeholder until then.</w:t>
      </w:r>
    </w:p>
    <w:p>
      <w:pPr>
        <w:pStyle w:val="ListParagraph"/>
        <w:numPr>
          <w:ilvl w:val="0"/>
          <w:numId w:val="5"/>
        </w:numPr>
        <w:spacing w:after="90" w:line="276"/>
      </w:pPr>
      <w:r>
        <w:rPr>
          <w:b/>
          <w:bCs/>
        </w:rPr>
        <w:t xml:space="preserve">Keep it living: </w:t>
      </w:r>
      <w:r>
        <w:t xml:space="preserve">revise this plan as soon as you have a real site and real numbers; its credibility comes from specificity.</w:t>
      </w:r>
    </w:p>
    <w:p>
      <w:pPr>
        <w:pStyle w:val="Heading1"/>
      </w:pPr>
      <w:r>
        <w:t xml:space="preserve">Sources and notes</w:t>
      </w:r>
    </w:p>
    <w:p>
      <w:pPr>
        <w:pBdr>
          <w:bottom w:val="single" w:color="8F3F2B" w:sz="6" w:space="1"/>
        </w:pBdr>
        <w:spacing w:after="160"/>
      </w:pPr>
      <w:r>
        <w:t xml:space="preserve"/>
      </w:r>
    </w:p>
    <w:p>
      <w:pPr>
        <w:spacing w:after="140" w:line="276"/>
      </w:pPr>
      <w:r>
        <w:rPr>
          <w:b/>
          <w:bCs/>
        </w:rPr>
        <w:t xml:space="preserve">Housing data </w:t>
      </w:r>
      <w:r>
        <w:t xml:space="preserve">(2026, summarised from public reporting): PropTrack Housing Affordability Report; Demographia International Housing Affordability; Cotality; Australian Bureau of Statistics; Australian Institute of Health and Welfare; ANU Centre for Social Policy Research; industry rental analyses.</w:t>
      </w:r>
    </w:p>
    <w:p>
      <w:pPr>
        <w:spacing w:after="140" w:line="276"/>
      </w:pPr>
      <w:r>
        <w:rPr>
          <w:b/>
          <w:bCs/>
        </w:rPr>
        <w:t xml:space="preserve">Connection and health: </w:t>
      </w:r>
      <w:r>
        <w:t xml:space="preserve">Holt-Lunstad et al., meta-analyses of social relationships and mortality; US Surgeon General’s Advisory on social connection (2023); Harvard Study of Adult Development.</w:t>
      </w:r>
    </w:p>
    <w:p>
      <w:pPr>
        <w:spacing w:after="140" w:line="276"/>
      </w:pPr>
      <w:r>
        <w:rPr>
          <w:b/>
          <w:bCs/>
        </w:rPr>
        <w:t xml:space="preserve">Models referenced: </w:t>
      </w:r>
      <w:r>
        <w:t xml:space="preserve">community land trusts; housing co-operatives (incl. Zurich cost-rent model); Singapore HDB; cohousing; Ostrom on commons governance; Dunbar’s number; Henry George on land value.</w:t>
      </w:r>
    </w:p>
    <w:p>
      <w:pPr>
        <w:spacing w:after="80"/>
      </w:pPr>
      <w:r>
        <w:t xml:space="preserve"/>
      </w:r>
    </w:p>
    <w:p>
      <w:pPr>
        <w:pBdr>
          <w:left w:val="single" w:color="5E6B50" w:sz="18" w:space="8"/>
        </w:pBdr>
        <w:shd w:fill="EFE5D6" w:val="clear"/>
        <w:spacing w:after="120" w:before="120"/>
      </w:pPr>
      <w:r>
        <w:rPr>
          <w:i/>
          <w:iCs/>
          <w:sz w:val="18"/>
          <w:szCs w:val="18"/>
        </w:rPr>
        <w:t xml:space="preserve">Disclaimer. This document is for discussion only and does not constitute financial, investment, or legal advice, nor an offer or solicitation of investment. All projections are illustrative and based on stated assumptions; they are not forecasts or guarantees. Obtain independent professional advice before making any decision. Portions were developed with AI assistance and reviewed by the project.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6"/>
      </w:pBdr>
      <w:tabs>
        <w:tab w:val="right" w:pos="9360"/>
      </w:tabs>
    </w:pPr>
    <w:r>
      <w:rPr>
        <w:color w:val="7C7468"/>
        <w:sz w:val="16"/>
        <w:szCs w:val="16"/>
      </w:rPr>
      <w:t xml:space="preserve">Belonging — Business Plan</w:t>
    </w:r>
    <w:r>
      <w:rPr>
        <w:sz w:val="16"/>
        <w:szCs w:val="16"/>
      </w:rPr>
      <w:t xml:space="preserve">	</w:t>
    </w:r>
    <w:r>
      <w:rPr>
        <w:color w:val="7C746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300"/>
      </w:pPr>
    </w:lvl>
  </w:abstractNum>
  <w:abstractNum w:abstractNumId="4" w15:restartNumberingAfterBreak="0">
    <w:multiLevelType w:val="hybridMultilevel"/>
    <w:lvl w:ilvl="0" w15:tentative="1">
      <w:start w:val="1"/>
      <w:numFmt w:val="decimal"/>
      <w:lvlText w:val="%1."/>
      <w:lvlJc w:val="left"/>
      <w:pPr>
        <w:ind w:left="540" w:hanging="300"/>
      </w:pPr>
    </w:lvl>
  </w:abstractNum>
  <w:abstractNum w:abstractNumId="5" w15:restartNumberingAfterBreak="0">
    <w:multiLevelType w:val="hybridMultilevel"/>
    <w:lvl w:ilvl="0" w15:tentative="1">
      <w:start w:val="1"/>
      <w:numFmt w:val="decimal"/>
      <w:lvlText w:val="%1."/>
      <w:lvlJc w:val="left"/>
      <w:pPr>
        <w:ind w:left="54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4201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8F3F2B"/>
      <w:sz w:val="30"/>
      <w:szCs w:val="30"/>
    </w:rPr>
  </w:style>
  <w:style w:type="paragraph" w:styleId="Heading2">
    <w:name w:val="Heading 2"/>
    <w:basedOn w:val="Normal"/>
    <w:next w:val="Normal"/>
    <w:qFormat/>
    <w:pPr>
      <w:spacing w:after="120" w:before="220"/>
      <w:outlineLvl w:val="1"/>
    </w:pPr>
    <w:rPr>
      <w:rFonts w:ascii="Arial" w:cs="Arial" w:eastAsia="Arial" w:hAnsi="Arial"/>
      <w:b/>
      <w:bCs/>
      <w:color w:val="24201C"/>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Belonging</dc:creator>
  <cp:lastModifiedBy>Un-named</cp:lastModifiedBy>
  <cp:revision>1</cp:revision>
  <dcterms:created xsi:type="dcterms:W3CDTF">2026-05-31T05:30:18.007Z</dcterms:created>
  <dcterms:modified xsi:type="dcterms:W3CDTF">2026-05-31T05:30:18.008Z</dcterms:modified>
</cp:coreProperties>
</file>

<file path=docProps/custom.xml><?xml version="1.0" encoding="utf-8"?>
<Properties xmlns="http://schemas.openxmlformats.org/officeDocument/2006/custom-properties" xmlns:vt="http://schemas.openxmlformats.org/officeDocument/2006/docPropsVTypes"/>
</file>